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5E8" w:rsidRDefault="00207A45">
      <w:pPr>
        <w:rPr>
          <w:rFonts w:ascii="Arial" w:eastAsia="Arial" w:hAnsi="Arial" w:cs="Arial"/>
          <w:b/>
          <w:sz w:val="36"/>
          <w:szCs w:val="36"/>
        </w:rPr>
      </w:pPr>
      <w:r>
        <w:rPr>
          <w:rFonts w:ascii="Arial" w:eastAsia="Arial" w:hAnsi="Arial" w:cs="Arial"/>
          <w:b/>
          <w:sz w:val="36"/>
          <w:szCs w:val="36"/>
        </w:rPr>
        <w:t>Framework Schedule 3 (Framework Prices)</w:t>
      </w:r>
    </w:p>
    <w:p w:rsidR="002765E8" w:rsidRDefault="00207A45">
      <w:pPr>
        <w:numPr>
          <w:ilvl w:val="0"/>
          <w:numId w:val="1"/>
        </w:numPr>
        <w:pBdr>
          <w:top w:val="nil"/>
          <w:left w:val="nil"/>
          <w:bottom w:val="nil"/>
          <w:right w:val="nil"/>
          <w:between w:val="nil"/>
        </w:pBdr>
        <w:tabs>
          <w:tab w:val="left" w:pos="142"/>
        </w:tabs>
        <w:spacing w:before="120" w:after="240" w:line="240" w:lineRule="auto"/>
        <w:jc w:val="both"/>
        <w:rPr>
          <w:sz w:val="26"/>
          <w:szCs w:val="26"/>
        </w:rPr>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2765E8" w:rsidRDefault="00207A4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2765E8" w:rsidRDefault="00207A45">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2765E8" w:rsidRDefault="00207A45">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2765E8" w:rsidRDefault="00207A4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2765E8" w:rsidRDefault="00207A45">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2765E8" w:rsidRDefault="00207A45">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not be subject to Indexation</w:t>
      </w:r>
      <w:r>
        <w:rPr>
          <w:rFonts w:ascii="Arial" w:eastAsia="Arial" w:hAnsi="Arial" w:cs="Arial"/>
          <w:sz w:val="24"/>
          <w:szCs w:val="24"/>
        </w:rPr>
        <w:t xml:space="preserve">. </w:t>
      </w:r>
    </w:p>
    <w:p w:rsidR="002765E8" w:rsidRDefault="002765E8">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rsidR="002765E8" w:rsidRDefault="00207A4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2765E8" w:rsidRDefault="00207A4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2765E8" w:rsidRDefault="00207A45">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 Costs and expenses </w:t>
      </w:r>
    </w:p>
    <w:p w:rsidR="002765E8" w:rsidRDefault="00207A4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sz w:val="24"/>
          <w:szCs w:val="24"/>
        </w:rPr>
        <w:t xml:space="preserve">Except as expressly set out in paragraph 4 (Reimbursable Expenses) of this Framework Schedule 3, the Framework Prices shall include all costs and expenses relating to the Services provided to the Buyer and/or the Suppliers performance of its obligations under any Call Off Contracts and no further amounts shall be payable by a Buyer to the Supplier in respect of such performance, including in respect of matters such as: </w:t>
      </w:r>
    </w:p>
    <w:p w:rsidR="002765E8" w:rsidRDefault="00207A4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4" w:hanging="850"/>
        <w:rPr>
          <w:rFonts w:ascii="Arial" w:eastAsia="Arial" w:hAnsi="Arial" w:cs="Arial"/>
          <w:sz w:val="24"/>
          <w:szCs w:val="24"/>
        </w:rPr>
      </w:pPr>
      <w:r>
        <w:rPr>
          <w:rFonts w:ascii="Arial" w:eastAsia="Arial" w:hAnsi="Arial" w:cs="Arial"/>
          <w:sz w:val="24"/>
          <w:szCs w:val="24"/>
        </w:rPr>
        <w:t xml:space="preserve">incidental expenses that the Supplier incurs, including travel, subsistence and lodging, document or report reproduction, shipping, desktop or office equipment costs required by the Supplier Personnel, network or data interchange costs or other telecommunications charges; or </w:t>
      </w:r>
    </w:p>
    <w:p w:rsidR="002765E8" w:rsidRDefault="00207A4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rPr>
          <w:rFonts w:ascii="Arial" w:eastAsia="Arial" w:hAnsi="Arial" w:cs="Arial"/>
          <w:sz w:val="24"/>
          <w:szCs w:val="24"/>
        </w:rPr>
      </w:pPr>
      <w:r>
        <w:rPr>
          <w:rFonts w:ascii="Arial" w:eastAsia="Arial" w:hAnsi="Arial" w:cs="Arial"/>
          <w:sz w:val="24"/>
          <w:szCs w:val="24"/>
        </w:rPr>
        <w:t>any amount for any services provided or costs incurred by the Supplier prior to the commencement date of any Call Off Contract.; or</w:t>
      </w:r>
    </w:p>
    <w:p w:rsidR="002765E8" w:rsidRDefault="00207A4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2765E8" w:rsidRDefault="00207A45">
      <w:pPr>
        <w:numPr>
          <w:ilvl w:val="0"/>
          <w:numId w:val="1"/>
        </w:numPr>
        <w:tabs>
          <w:tab w:val="left" w:pos="142"/>
        </w:tabs>
        <w:spacing w:before="120" w:after="240" w:line="240" w:lineRule="auto"/>
        <w:jc w:val="both"/>
      </w:pPr>
      <w:r>
        <w:rPr>
          <w:rFonts w:ascii="Arial" w:eastAsia="Arial" w:hAnsi="Arial" w:cs="Arial"/>
          <w:b/>
          <w:sz w:val="24"/>
          <w:szCs w:val="24"/>
        </w:rPr>
        <w:t>Reimbursable expenses</w:t>
      </w:r>
    </w:p>
    <w:p w:rsidR="002765E8" w:rsidRDefault="00207A45">
      <w:pPr>
        <w:numPr>
          <w:ilvl w:val="1"/>
          <w:numId w:val="1"/>
        </w:numPr>
        <w:tabs>
          <w:tab w:val="left" w:pos="142"/>
        </w:tabs>
        <w:spacing w:before="120" w:after="240" w:line="240" w:lineRule="auto"/>
        <w:jc w:val="both"/>
        <w:rPr>
          <w:sz w:val="24"/>
          <w:szCs w:val="24"/>
        </w:rPr>
      </w:pPr>
      <w:r>
        <w:rPr>
          <w:rFonts w:ascii="Arial" w:eastAsia="Arial" w:hAnsi="Arial" w:cs="Arial"/>
          <w:sz w:val="24"/>
          <w:szCs w:val="24"/>
        </w:rPr>
        <w:t xml:space="preserve">Where Services are to be provided to the Buyer under any Call Off Contract on the basis of Framework Prices submitted by the Supplier to CCS using the Time </w:t>
      </w:r>
      <w:r>
        <w:rPr>
          <w:rFonts w:ascii="Arial" w:eastAsia="Arial" w:hAnsi="Arial" w:cs="Arial"/>
          <w:sz w:val="24"/>
          <w:szCs w:val="24"/>
        </w:rPr>
        <w:lastRenderedPageBreak/>
        <w:t xml:space="preserve">and Materials pricing mechanism set out in Annex 1, the Supplier shall be entitled to be reimbursed by the Buyer for Reimbursable Expenses (in addition to being paid the relevant Charges under the respective Call Off Contracts), provided that such Reimbursable Expenses are supported by Supporting Documentation. The Buyer shall provide a copy of their current expenses policy to the Supplier upon request. </w:t>
      </w:r>
    </w:p>
    <w:p w:rsidR="002765E8" w:rsidRDefault="00207A45">
      <w:pPr>
        <w:numPr>
          <w:ilvl w:val="0"/>
          <w:numId w:val="1"/>
        </w:numPr>
        <w:tabs>
          <w:tab w:val="left" w:pos="142"/>
        </w:tabs>
        <w:spacing w:before="120" w:after="240" w:line="240" w:lineRule="auto"/>
        <w:jc w:val="both"/>
        <w:rPr>
          <w:sz w:val="24"/>
          <w:szCs w:val="24"/>
        </w:rPr>
      </w:pPr>
      <w:r>
        <w:rPr>
          <w:rFonts w:ascii="Arial" w:eastAsia="Arial" w:hAnsi="Arial" w:cs="Arial"/>
          <w:b/>
          <w:sz w:val="24"/>
          <w:szCs w:val="24"/>
        </w:rPr>
        <w:t>Other events that allow the Supplier to change the Framework Prices</w:t>
      </w:r>
    </w:p>
    <w:p w:rsidR="002765E8" w:rsidRDefault="00207A45">
      <w:pPr>
        <w:numPr>
          <w:ilvl w:val="1"/>
          <w:numId w:val="1"/>
        </w:numPr>
        <w:tabs>
          <w:tab w:val="left" w:pos="709"/>
        </w:tabs>
        <w:spacing w:before="120" w:after="120" w:line="240" w:lineRule="auto"/>
      </w:pPr>
      <w:r>
        <w:rPr>
          <w:rFonts w:ascii="Arial" w:eastAsia="Arial" w:hAnsi="Arial" w:cs="Arial"/>
          <w:sz w:val="24"/>
          <w:szCs w:val="24"/>
        </w:rPr>
        <w:t>The Framework Prices can also be varied (and Annex 1 will be updated accordingly) due to:</w:t>
      </w:r>
    </w:p>
    <w:p w:rsidR="002765E8" w:rsidRDefault="00207A45">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Specific Change in Law in accordance with Clause 24;</w:t>
      </w:r>
    </w:p>
    <w:p w:rsidR="002765E8" w:rsidRDefault="00207A45">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 xml:space="preserve">a review in accordance with insurance requirements in Clause 13; </w:t>
      </w:r>
    </w:p>
    <w:p w:rsidR="002765E8" w:rsidRDefault="00207A45">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benchmarking review in accordance with Call Off Schedule 16 (Benchmarking): and</w:t>
      </w:r>
    </w:p>
    <w:p w:rsidR="002765E8" w:rsidRDefault="00207A45">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request from the Supplier, which it can make at any time, to decrease the Framework Prices.</w:t>
      </w:r>
    </w:p>
    <w:p w:rsidR="002765E8" w:rsidRDefault="002765E8">
      <w:pPr>
        <w:tabs>
          <w:tab w:val="left" w:pos="1985"/>
          <w:tab w:val="left" w:pos="2127"/>
        </w:tabs>
        <w:spacing w:before="120" w:after="120" w:line="240" w:lineRule="auto"/>
        <w:ind w:left="608"/>
        <w:rPr>
          <w:rFonts w:ascii="Arial" w:eastAsia="Arial" w:hAnsi="Arial" w:cs="Arial"/>
          <w:sz w:val="24"/>
          <w:szCs w:val="24"/>
        </w:rPr>
      </w:pPr>
    </w:p>
    <w:p w:rsidR="002765E8" w:rsidRDefault="00207A45">
      <w:pPr>
        <w:numPr>
          <w:ilvl w:val="0"/>
          <w:numId w:val="1"/>
        </w:numPr>
        <w:tabs>
          <w:tab w:val="left" w:pos="142"/>
        </w:tabs>
        <w:spacing w:before="120" w:after="240" w:line="240" w:lineRule="auto"/>
        <w:jc w:val="both"/>
      </w:pPr>
      <w:r>
        <w:rPr>
          <w:rFonts w:ascii="Arial" w:eastAsia="Arial" w:hAnsi="Arial" w:cs="Arial"/>
          <w:b/>
          <w:sz w:val="24"/>
          <w:szCs w:val="24"/>
        </w:rPr>
        <w:t xml:space="preserve">Not Used  </w:t>
      </w:r>
    </w:p>
    <w:p w:rsidR="002765E8" w:rsidRDefault="00207A45">
      <w:pPr>
        <w:numPr>
          <w:ilvl w:val="0"/>
          <w:numId w:val="1"/>
        </w:numPr>
        <w:tabs>
          <w:tab w:val="left" w:pos="142"/>
        </w:tabs>
        <w:spacing w:before="120" w:after="240" w:line="240" w:lineRule="auto"/>
        <w:jc w:val="both"/>
      </w:pPr>
      <w:r>
        <w:rPr>
          <w:rFonts w:ascii="Arial" w:eastAsia="Arial" w:hAnsi="Arial" w:cs="Arial"/>
          <w:b/>
          <w:sz w:val="24"/>
          <w:szCs w:val="24"/>
        </w:rPr>
        <w:t>Not Used</w:t>
      </w:r>
    </w:p>
    <w:p w:rsidR="002765E8" w:rsidRDefault="00207A4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sz w:val="24"/>
          <w:szCs w:val="24"/>
        </w:rPr>
        <w:t>Not Used</w:t>
      </w:r>
    </w:p>
    <w:p w:rsidR="002765E8" w:rsidRDefault="002765E8">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sz w:val="24"/>
          <w:szCs w:val="24"/>
        </w:rPr>
      </w:pPr>
    </w:p>
    <w:p w:rsidR="002765E8" w:rsidRDefault="002765E8">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sz w:val="24"/>
          <w:szCs w:val="24"/>
        </w:rPr>
      </w:pPr>
    </w:p>
    <w:p w:rsidR="002765E8" w:rsidRDefault="00207A45">
      <w:pPr>
        <w:rPr>
          <w:rFonts w:ascii="Arial" w:eastAsia="Arial" w:hAnsi="Arial" w:cs="Arial"/>
          <w:b/>
          <w:sz w:val="36"/>
          <w:szCs w:val="36"/>
        </w:rPr>
      </w:pPr>
      <w:bookmarkStart w:id="2" w:name="_heading=h.2et92p0" w:colFirst="0" w:colLast="0"/>
      <w:bookmarkEnd w:id="2"/>
      <w:r>
        <w:br w:type="page"/>
      </w:r>
      <w:r>
        <w:rPr>
          <w:rFonts w:ascii="Arial" w:eastAsia="Arial" w:hAnsi="Arial" w:cs="Arial"/>
          <w:b/>
          <w:sz w:val="36"/>
          <w:szCs w:val="36"/>
        </w:rPr>
        <w:lastRenderedPageBreak/>
        <w:t>Annex 1: Rates and Prices</w:t>
      </w:r>
    </w:p>
    <w:p w:rsidR="002765E8" w:rsidRDefault="00207A4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2765E8" w:rsidRDefault="00207A45">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2765E8" w:rsidRDefault="00207A45">
      <w:pPr>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color w:val="000000"/>
          <w:sz w:val="24"/>
          <w:szCs w:val="24"/>
        </w:rPr>
        <w:t>The rates below shall not be subject to variation by way of Indexation</w:t>
      </w:r>
    </w:p>
    <w:tbl>
      <w:tblPr>
        <w:tblStyle w:val="a7"/>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2765E8">
        <w:tc>
          <w:tcPr>
            <w:tcW w:w="4560" w:type="dxa"/>
            <w:tcBorders>
              <w:bottom w:val="single" w:sz="4" w:space="0" w:color="000000"/>
            </w:tcBorders>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0" w:type="dxa"/>
            <w:tcBorders>
              <w:bottom w:val="single" w:sz="4" w:space="0" w:color="000000"/>
            </w:tcBorders>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2765E8">
        <w:tc>
          <w:tcPr>
            <w:tcW w:w="4560" w:type="dxa"/>
            <w:tcBorders>
              <w:top w:val="single" w:sz="4" w:space="0" w:color="000000"/>
              <w:left w:val="single" w:sz="4" w:space="0" w:color="000000"/>
              <w:bottom w:val="nil"/>
              <w:right w:val="single" w:sz="4" w:space="0" w:color="000000"/>
            </w:tcBorders>
          </w:tcPr>
          <w:p w:rsidR="002765E8" w:rsidRDefault="00207A45">
            <w:pPr>
              <w:keepNext/>
              <w:pBdr>
                <w:top w:val="nil"/>
                <w:left w:val="nil"/>
                <w:bottom w:val="nil"/>
                <w:right w:val="nil"/>
                <w:between w:val="nil"/>
              </w:pBdr>
              <w:spacing w:before="240" w:after="120"/>
              <w:ind w:left="-141"/>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Partner</w:t>
            </w:r>
          </w:p>
        </w:tc>
        <w:tc>
          <w:tcPr>
            <w:tcW w:w="4560" w:type="dxa"/>
            <w:tcBorders>
              <w:top w:val="single" w:sz="4" w:space="0" w:color="000000"/>
              <w:left w:val="single" w:sz="4" w:space="0" w:color="000000"/>
              <w:bottom w:val="single" w:sz="4" w:space="0" w:color="000000"/>
              <w:right w:val="single" w:sz="4" w:space="0" w:color="000000"/>
            </w:tcBorders>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[T&amp;M]</w:t>
            </w:r>
          </w:p>
        </w:tc>
      </w:tr>
      <w:tr w:rsidR="002765E8">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2765E8" w:rsidRDefault="00207A45">
            <w:pPr>
              <w:widowControl w:val="0"/>
              <w:pBdr>
                <w:top w:val="nil"/>
                <w:left w:val="nil"/>
                <w:bottom w:val="nil"/>
                <w:right w:val="nil"/>
                <w:between w:val="nil"/>
              </w:pBdr>
              <w:spacing w:line="276" w:lineRule="auto"/>
              <w:rPr>
                <w:rFonts w:ascii="Arial" w:eastAsia="Arial" w:hAnsi="Arial" w:cs="Arial"/>
                <w:color w:val="000000"/>
                <w:sz w:val="24"/>
                <w:szCs w:val="24"/>
              </w:rPr>
            </w:pPr>
            <w:r>
              <w:rPr>
                <w:rFonts w:ascii="Arial" w:eastAsia="Arial" w:hAnsi="Arial" w:cs="Arial"/>
                <w:sz w:val="24"/>
                <w:szCs w:val="24"/>
              </w:rPr>
              <w:t>Managing Consultancy / Director</w:t>
            </w:r>
          </w:p>
        </w:tc>
        <w:tc>
          <w:tcPr>
            <w:tcW w:w="4560" w:type="dxa"/>
            <w:tcBorders>
              <w:top w:val="single" w:sz="4" w:space="0" w:color="000000"/>
              <w:left w:val="single" w:sz="6" w:space="0" w:color="000000"/>
              <w:bottom w:val="single" w:sz="4" w:space="0" w:color="000000"/>
              <w:right w:val="single" w:sz="4" w:space="0" w:color="000000"/>
            </w:tcBorders>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sz w:val="24"/>
                <w:szCs w:val="24"/>
              </w:rPr>
              <w:t>[T&amp;M]</w:t>
            </w:r>
          </w:p>
        </w:tc>
      </w:tr>
      <w:tr w:rsidR="002765E8">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2765E8" w:rsidRDefault="00207A45">
            <w:pPr>
              <w:widowControl w:val="0"/>
              <w:pBdr>
                <w:top w:val="nil"/>
                <w:left w:val="nil"/>
                <w:bottom w:val="nil"/>
                <w:right w:val="nil"/>
                <w:between w:val="nil"/>
              </w:pBdr>
              <w:spacing w:line="276" w:lineRule="auto"/>
            </w:pPr>
            <w:r>
              <w:rPr>
                <w:rFonts w:ascii="Arial" w:eastAsia="Arial" w:hAnsi="Arial" w:cs="Arial"/>
                <w:color w:val="000000"/>
                <w:sz w:val="24"/>
                <w:szCs w:val="24"/>
              </w:rPr>
              <w:t>Principal Consultant / Associate Director</w:t>
            </w:r>
          </w:p>
        </w:tc>
        <w:tc>
          <w:tcPr>
            <w:tcW w:w="4560" w:type="dxa"/>
            <w:tcBorders>
              <w:top w:val="single" w:sz="4" w:space="0" w:color="000000"/>
              <w:left w:val="single" w:sz="6" w:space="0" w:color="000000"/>
              <w:bottom w:val="single" w:sz="4" w:space="0" w:color="000000"/>
              <w:right w:val="single" w:sz="4" w:space="0" w:color="000000"/>
            </w:tcBorders>
          </w:tcPr>
          <w:p w:rsidR="002765E8" w:rsidRDefault="00207A45">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r w:rsidR="002765E8">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2765E8" w:rsidRDefault="00207A45">
            <w:pPr>
              <w:widowControl w:val="0"/>
              <w:pBdr>
                <w:top w:val="nil"/>
                <w:left w:val="nil"/>
                <w:bottom w:val="nil"/>
                <w:right w:val="nil"/>
                <w:between w:val="nil"/>
              </w:pBdr>
              <w:spacing w:line="276" w:lineRule="auto"/>
            </w:pPr>
            <w:r>
              <w:rPr>
                <w:rFonts w:ascii="Arial" w:eastAsia="Arial" w:hAnsi="Arial" w:cs="Arial"/>
                <w:color w:val="000000"/>
                <w:sz w:val="24"/>
                <w:szCs w:val="24"/>
              </w:rPr>
              <w:t>Senior Consultant / Engagement Manager / Project Lead</w:t>
            </w:r>
          </w:p>
        </w:tc>
        <w:tc>
          <w:tcPr>
            <w:tcW w:w="4560" w:type="dxa"/>
            <w:tcBorders>
              <w:top w:val="single" w:sz="4" w:space="0" w:color="000000"/>
              <w:left w:val="single" w:sz="6" w:space="0" w:color="000000"/>
              <w:bottom w:val="single" w:sz="4" w:space="0" w:color="000000"/>
              <w:right w:val="single" w:sz="4" w:space="0" w:color="000000"/>
            </w:tcBorders>
          </w:tcPr>
          <w:p w:rsidR="002765E8" w:rsidRDefault="00207A45">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r w:rsidR="002765E8">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2765E8" w:rsidRDefault="00207A45">
            <w:pPr>
              <w:widowControl w:val="0"/>
              <w:pBdr>
                <w:top w:val="nil"/>
                <w:left w:val="nil"/>
                <w:bottom w:val="nil"/>
                <w:right w:val="nil"/>
                <w:between w:val="nil"/>
              </w:pBdr>
              <w:spacing w:line="276" w:lineRule="auto"/>
            </w:pPr>
            <w:r>
              <w:rPr>
                <w:rFonts w:ascii="Arial" w:eastAsia="Arial" w:hAnsi="Arial" w:cs="Arial"/>
                <w:color w:val="000000"/>
                <w:sz w:val="24"/>
                <w:szCs w:val="24"/>
              </w:rPr>
              <w:t>Consultant</w:t>
            </w:r>
          </w:p>
        </w:tc>
        <w:tc>
          <w:tcPr>
            <w:tcW w:w="4560" w:type="dxa"/>
            <w:tcBorders>
              <w:top w:val="single" w:sz="4" w:space="0" w:color="000000"/>
              <w:left w:val="single" w:sz="6" w:space="0" w:color="000000"/>
              <w:bottom w:val="single" w:sz="4" w:space="0" w:color="000000"/>
              <w:right w:val="single" w:sz="4" w:space="0" w:color="000000"/>
            </w:tcBorders>
          </w:tcPr>
          <w:p w:rsidR="002765E8" w:rsidRDefault="00207A45">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r w:rsidR="002765E8">
        <w:tc>
          <w:tcPr>
            <w:tcW w:w="4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2765E8" w:rsidRDefault="00207A45">
            <w:pPr>
              <w:widowControl w:val="0"/>
              <w:pBdr>
                <w:top w:val="nil"/>
                <w:left w:val="nil"/>
                <w:bottom w:val="nil"/>
                <w:right w:val="nil"/>
                <w:between w:val="nil"/>
              </w:pBdr>
              <w:spacing w:line="276" w:lineRule="auto"/>
            </w:pPr>
            <w:r>
              <w:rPr>
                <w:rFonts w:ascii="Arial" w:eastAsia="Arial" w:hAnsi="Arial" w:cs="Arial"/>
                <w:color w:val="000000"/>
                <w:sz w:val="24"/>
                <w:szCs w:val="24"/>
              </w:rPr>
              <w:t>Analyst / Junior Consultant</w:t>
            </w:r>
          </w:p>
        </w:tc>
        <w:tc>
          <w:tcPr>
            <w:tcW w:w="4560" w:type="dxa"/>
            <w:tcBorders>
              <w:top w:val="single" w:sz="4" w:space="0" w:color="000000"/>
              <w:left w:val="single" w:sz="6" w:space="0" w:color="000000"/>
              <w:bottom w:val="single" w:sz="4" w:space="0" w:color="000000"/>
              <w:right w:val="single" w:sz="4" w:space="0" w:color="000000"/>
            </w:tcBorders>
          </w:tcPr>
          <w:p w:rsidR="002765E8" w:rsidRDefault="00207A45">
            <w:pPr>
              <w:keepNext/>
              <w:pBdr>
                <w:top w:val="nil"/>
                <w:left w:val="nil"/>
                <w:bottom w:val="nil"/>
                <w:right w:val="nil"/>
                <w:between w:val="nil"/>
              </w:pBdr>
              <w:spacing w:before="240" w:after="120"/>
              <w:ind w:left="142"/>
            </w:pPr>
            <w:r>
              <w:rPr>
                <w:rFonts w:ascii="Arial" w:eastAsia="Arial" w:hAnsi="Arial" w:cs="Arial"/>
                <w:color w:val="000000"/>
                <w:sz w:val="24"/>
                <w:szCs w:val="24"/>
              </w:rPr>
              <w:t>[T&amp;M]</w:t>
            </w:r>
          </w:p>
        </w:tc>
      </w:tr>
    </w:tbl>
    <w:p w:rsidR="002765E8" w:rsidRDefault="00207A4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2765E8" w:rsidRDefault="00207A45">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of services below shall not be subject to variation by way of Indexation</w:t>
      </w:r>
    </w:p>
    <w:tbl>
      <w:tblPr>
        <w:tblStyle w:val="a8"/>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2765E8">
        <w:tc>
          <w:tcPr>
            <w:tcW w:w="4508" w:type="dxa"/>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2765E8">
        <w:tc>
          <w:tcPr>
            <w:tcW w:w="4508"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fixed price 1]</w:t>
            </w:r>
          </w:p>
        </w:tc>
        <w:tc>
          <w:tcPr>
            <w:tcW w:w="4508" w:type="dxa"/>
            <w:shd w:val="clear" w:color="auto" w:fill="FFFFFF"/>
          </w:tcPr>
          <w:p w:rsidR="002765E8" w:rsidRDefault="002765E8">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2765E8">
        <w:tc>
          <w:tcPr>
            <w:tcW w:w="4508"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fixed price 2]</w:t>
            </w:r>
          </w:p>
        </w:tc>
        <w:tc>
          <w:tcPr>
            <w:tcW w:w="4508" w:type="dxa"/>
            <w:shd w:val="clear" w:color="auto" w:fill="FFFFFF"/>
          </w:tcPr>
          <w:p w:rsidR="002765E8" w:rsidRDefault="002765E8">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2765E8" w:rsidRDefault="002765E8">
      <w:pPr>
        <w:keepNext/>
        <w:pBdr>
          <w:top w:val="nil"/>
          <w:left w:val="nil"/>
          <w:bottom w:val="nil"/>
          <w:right w:val="nil"/>
          <w:between w:val="nil"/>
        </w:pBdr>
        <w:spacing w:before="240" w:after="240" w:line="240" w:lineRule="auto"/>
        <w:rPr>
          <w:rFonts w:ascii="Arial" w:eastAsia="Arial" w:hAnsi="Arial" w:cs="Arial"/>
          <w:b/>
          <w:sz w:val="24"/>
          <w:szCs w:val="24"/>
        </w:rPr>
      </w:pPr>
    </w:p>
    <w:p w:rsidR="002765E8" w:rsidRDefault="002765E8">
      <w:pPr>
        <w:keepNext/>
        <w:pBdr>
          <w:top w:val="nil"/>
          <w:left w:val="nil"/>
          <w:bottom w:val="nil"/>
          <w:right w:val="nil"/>
          <w:between w:val="nil"/>
        </w:pBdr>
        <w:spacing w:before="240" w:after="240" w:line="240" w:lineRule="auto"/>
        <w:rPr>
          <w:rFonts w:ascii="Arial" w:eastAsia="Arial" w:hAnsi="Arial" w:cs="Arial"/>
          <w:b/>
          <w:sz w:val="24"/>
          <w:szCs w:val="24"/>
        </w:rPr>
      </w:pPr>
    </w:p>
    <w:p w:rsidR="002765E8" w:rsidRDefault="00207A4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rsidR="002765E8" w:rsidRDefault="00207A45">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9"/>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2765E8">
        <w:tc>
          <w:tcPr>
            <w:tcW w:w="2254" w:type="dxa"/>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Framework Price Number</w:t>
            </w:r>
          </w:p>
        </w:tc>
        <w:tc>
          <w:tcPr>
            <w:tcW w:w="2254" w:type="dxa"/>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2765E8" w:rsidRDefault="00207A4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2765E8">
        <w:tc>
          <w:tcPr>
            <w:tcW w:w="2254" w:type="dxa"/>
            <w:vMerge w:val="restart"/>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volume based price 1]</w:t>
            </w:r>
          </w:p>
        </w:tc>
        <w:tc>
          <w:tcPr>
            <w:tcW w:w="2254" w:type="dxa"/>
            <w:vMerge w:val="restart"/>
          </w:tcPr>
          <w:p w:rsidR="002765E8" w:rsidRDefault="002765E8">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2765E8">
        <w:trPr>
          <w:trHeight w:val="701"/>
        </w:trPr>
        <w:tc>
          <w:tcPr>
            <w:tcW w:w="2254" w:type="dxa"/>
            <w:vMerge/>
          </w:tcPr>
          <w:p w:rsidR="002765E8" w:rsidRDefault="002765E8">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2765E8" w:rsidRDefault="002765E8">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2765E8">
        <w:tc>
          <w:tcPr>
            <w:tcW w:w="2254" w:type="dxa"/>
            <w:vMerge w:val="restart"/>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volume based price 2]</w:t>
            </w:r>
          </w:p>
        </w:tc>
        <w:tc>
          <w:tcPr>
            <w:tcW w:w="2254" w:type="dxa"/>
            <w:vMerge w:val="restart"/>
          </w:tcPr>
          <w:p w:rsidR="002765E8" w:rsidRDefault="002765E8">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2765E8">
        <w:tc>
          <w:tcPr>
            <w:tcW w:w="2254" w:type="dxa"/>
            <w:vMerge/>
          </w:tcPr>
          <w:p w:rsidR="002765E8" w:rsidRDefault="002765E8">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2765E8" w:rsidRDefault="002765E8">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2765E8" w:rsidRDefault="00207A45">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bl>
    <w:p w:rsidR="002765E8" w:rsidRDefault="002765E8">
      <w:pPr>
        <w:spacing w:before="240" w:after="120" w:line="240" w:lineRule="auto"/>
        <w:rPr>
          <w:rFonts w:ascii="Arial" w:eastAsia="Arial" w:hAnsi="Arial" w:cs="Arial"/>
          <w:color w:val="000000"/>
          <w:sz w:val="24"/>
          <w:szCs w:val="24"/>
        </w:rPr>
      </w:pPr>
    </w:p>
    <w:p w:rsidR="002765E8" w:rsidRPr="00295871" w:rsidRDefault="00072D76" w:rsidP="00072D76">
      <w:pPr>
        <w:rPr>
          <w:rFonts w:ascii="Arial" w:eastAsia="Arial" w:hAnsi="Arial" w:cs="Arial"/>
          <w:b/>
          <w:sz w:val="24"/>
          <w:szCs w:val="24"/>
        </w:rPr>
      </w:pPr>
      <w:r>
        <w:rPr>
          <w:rFonts w:ascii="Arial" w:eastAsia="Arial" w:hAnsi="Arial" w:cs="Arial"/>
          <w:b/>
          <w:sz w:val="24"/>
          <w:szCs w:val="24"/>
        </w:rPr>
        <w:t>REDACTED</w:t>
      </w:r>
      <w:bookmarkStart w:id="3" w:name="_GoBack"/>
      <w:bookmarkEnd w:id="3"/>
    </w:p>
    <w:sectPr w:rsidR="002765E8" w:rsidRPr="00295871">
      <w:footerReference w:type="default" r:id="rId8"/>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004" w:rsidRDefault="00623004">
      <w:pPr>
        <w:spacing w:after="0" w:line="240" w:lineRule="auto"/>
      </w:pPr>
      <w:r>
        <w:separator/>
      </w:r>
    </w:p>
  </w:endnote>
  <w:endnote w:type="continuationSeparator" w:id="0">
    <w:p w:rsidR="00623004" w:rsidRDefault="00623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panose1 w:val="00000000000000000000"/>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5E8" w:rsidRDefault="00207A45">
    <w:pPr>
      <w:rPr>
        <w:rFonts w:ascii="Arial" w:eastAsia="Arial" w:hAnsi="Arial" w:cs="Arial"/>
      </w:rPr>
    </w:pPr>
    <w:r>
      <w:rPr>
        <w:rFonts w:ascii="Arial" w:eastAsia="Arial" w:hAnsi="Arial" w:cs="Arial"/>
      </w:rPr>
      <w:t>Framework Ref: RM6187</w:t>
    </w:r>
    <w:r>
      <w:rPr>
        <w:rFonts w:ascii="Arial" w:eastAsia="Arial" w:hAnsi="Arial" w:cs="Arial"/>
      </w:rPr>
      <w:tab/>
      <w:t xml:space="preserve">                                           </w:t>
    </w:r>
  </w:p>
  <w:p w:rsidR="002765E8" w:rsidRDefault="00207A45">
    <w:pPr>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1</w:t>
    </w:r>
  </w:p>
  <w:p w:rsidR="002765E8" w:rsidRDefault="00207A45">
    <w:pPr>
      <w:rPr>
        <w:rFonts w:ascii="Arial" w:eastAsia="Arial" w:hAnsi="Arial" w:cs="Arial"/>
      </w:rPr>
    </w:pPr>
    <w:r>
      <w:rPr>
        <w:rFonts w:ascii="Arial" w:eastAsia="Arial" w:hAnsi="Arial" w:cs="Arial"/>
      </w:rPr>
      <w:t>Model Version: v3.7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004" w:rsidRDefault="00623004">
      <w:pPr>
        <w:spacing w:after="0" w:line="240" w:lineRule="auto"/>
      </w:pPr>
      <w:r>
        <w:separator/>
      </w:r>
    </w:p>
  </w:footnote>
  <w:footnote w:type="continuationSeparator" w:id="0">
    <w:p w:rsidR="00623004" w:rsidRDefault="006230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2EEF"/>
    <w:multiLevelType w:val="multilevel"/>
    <w:tmpl w:val="8398FBA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F164D6"/>
    <w:multiLevelType w:val="multilevel"/>
    <w:tmpl w:val="5836A150"/>
    <w:lvl w:ilvl="0">
      <w:start w:val="1"/>
      <w:numFmt w:val="decimal"/>
      <w:pStyle w:val="GPSL1CLAUSEHEADING"/>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firstLine="143"/>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5E8"/>
    <w:rsid w:val="00072D76"/>
    <w:rsid w:val="001D0EFB"/>
    <w:rsid w:val="001E43D5"/>
    <w:rsid w:val="00207A45"/>
    <w:rsid w:val="002765E8"/>
    <w:rsid w:val="00295871"/>
    <w:rsid w:val="006230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35FE9-36DB-4A47-AF79-3E3FE848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BDxQc8qjF4xgTcp4dPQvhFJ7wg==">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James Byrne</cp:lastModifiedBy>
  <cp:revision>4</cp:revision>
  <dcterms:created xsi:type="dcterms:W3CDTF">2021-08-02T10:59:00Z</dcterms:created>
  <dcterms:modified xsi:type="dcterms:W3CDTF">2021-09-07T09:27:00Z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